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686EE44D">
      <w:pPr>
        <w:ind w:left="0" w:right="0" w:firstLine="0"/>
        <w:jc w:val="center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eastAsia="Arial" w:hAnsi="Arial" w:cs="Arial"/>
          <w:b/>
          <w:sz w:val="24"/>
        </w:rPr>
        <w:t>P</w:t>
      </w:r>
      <w:r>
        <w:rPr>
          <w:rFonts w:ascii="Arial" w:eastAsia="Arial" w:hAnsi="Arial" w:cs="Arial"/>
          <w:b/>
          <w:sz w:val="24"/>
        </w:rPr>
        <w:t xml:space="preserve">rocedimento Interno de </w:t>
      </w:r>
      <w:r>
        <w:rPr>
          <w:rFonts w:ascii="Arial" w:eastAsia="Arial" w:hAnsi="Arial" w:cs="Arial"/>
          <w:b/>
          <w:sz w:val="24"/>
        </w:rPr>
        <w:t>Viagem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n.º 37</w:t>
      </w:r>
      <w:bookmarkStart w:id="0" w:name="_GoBack"/>
      <w:bookmarkEnd w:id="0"/>
      <w:r>
        <w:rPr>
          <w:rFonts w:ascii="Arial" w:eastAsia="Arial" w:hAnsi="Arial" w:cs="Arial"/>
          <w:b/>
          <w:sz w:val="24"/>
        </w:rPr>
        <w:t>/20</w:t>
      </w:r>
      <w:r>
        <w:rPr>
          <w:rFonts w:ascii="Arial" w:eastAsia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>6</w:t>
      </w:r>
    </w:p>
    <w:p w14:paraId="2BAA9ECF">
      <w:pPr>
        <w:ind w:left="1417" w:right="0" w:firstLine="0"/>
        <w:rPr>
          <w:rFonts w:ascii="Arial" w:hAnsi="Arial" w:cs="Arial"/>
          <w:b/>
          <w:bCs/>
          <w:sz w:val="24"/>
          <w:szCs w:val="24"/>
        </w:rPr>
      </w:pPr>
    </w:p>
    <w:p w14:paraId="5CBF6D3E">
      <w:pPr>
        <w:ind w:left="0" w:right="0" w:firstLine="0"/>
        <w:jc w:val="center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eastAsia="Arial" w:hAnsi="Arial" w:cs="Arial"/>
          <w:b/>
          <w:sz w:val="24"/>
        </w:rPr>
        <w:t>Parecer Nº 228/2026</w:t>
      </w:r>
    </w:p>
    <w:p w14:paraId="26EB1EA3">
      <w:pPr>
        <w:ind w:firstLine="1418"/>
        <w:rPr>
          <w:rFonts w:ascii="Arial" w:hAnsi="Arial" w:cs="Arial"/>
          <w:b/>
          <w:bCs/>
          <w:sz w:val="24"/>
          <w:szCs w:val="24"/>
          <w:highlight w:val="none"/>
        </w:rPr>
      </w:pPr>
    </w:p>
    <w:p w14:paraId="5033EA54">
      <w:pPr>
        <w:spacing w:line="360" w:lineRule="auto"/>
        <w:ind w:firstLine="1418"/>
        <w:rPr>
          <w:rFonts w:ascii="Arial" w:hAnsi="Arial" w:cs="Arial"/>
          <w:b/>
          <w:bCs/>
          <w:sz w:val="24"/>
          <w:szCs w:val="24"/>
        </w:rPr>
      </w:pPr>
    </w:p>
    <w:p w14:paraId="69EFE33E">
      <w:pPr>
        <w:spacing w:after="0" w:afterAutospacing="0" w:line="360" w:lineRule="auto"/>
        <w:ind w:left="1417" w:righ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Responsáveis pelos adiantamentos de numerário:</w:t>
      </w:r>
      <w:r>
        <w:rPr>
          <w:rFonts w:ascii="Arial" w:eastAsia="Arial" w:hAnsi="Arial" w:cs="Arial"/>
          <w:sz w:val="22"/>
          <w:szCs w:val="22"/>
        </w:rPr>
        <w:t xml:space="preserve"> Willian Rodrigues Pinheiro.</w:t>
      </w:r>
    </w:p>
    <w:p w14:paraId="22E14636">
      <w:pPr>
        <w:spacing w:after="0" w:afterAutospacing="0" w:line="360" w:lineRule="auto"/>
        <w:ind w:left="1417" w:righ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Responsáveis pelas diárias: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Guilherme Seiti de Oliveira Sato (Ver. Gilson Donizete Pelizaro).</w:t>
      </w:r>
    </w:p>
    <w:p w14:paraId="1ACC76A3">
      <w:pPr>
        <w:spacing w:after="0" w:afterAutospacing="0" w:line="360" w:lineRule="auto"/>
        <w:ind w:left="1417" w:right="0" w:firstLine="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Responsáveis pelas despesas: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Ver. Gilson Donizete Pelizaro e motorista Willian Rodrigues Pinheiro.</w:t>
      </w:r>
    </w:p>
    <w:p w14:paraId="6DDB26AB">
      <w:pPr>
        <w:spacing w:after="0" w:afterAutospacing="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Valores concedidos:</w:t>
      </w:r>
      <w:r>
        <w:rPr>
          <w:rFonts w:ascii="Arial" w:eastAsia="Arial" w:hAnsi="Arial" w:cs="Arial"/>
          <w:sz w:val="22"/>
          <w:szCs w:val="22"/>
        </w:rPr>
        <w:t xml:space="preserve"> R$</w:t>
      </w:r>
      <w:r>
        <w:rPr>
          <w:rFonts w:ascii="Arial" w:eastAsia="Arial" w:hAnsi="Arial" w:cs="Arial"/>
          <w:sz w:val="22"/>
          <w:szCs w:val="22"/>
        </w:rPr>
        <w:t xml:space="preserve"> 1.195,00 </w:t>
      </w:r>
      <w:r>
        <w:rPr>
          <w:rFonts w:ascii="Arial" w:eastAsia="Arial" w:hAnsi="Arial" w:cs="Arial"/>
          <w:sz w:val="22"/>
          <w:szCs w:val="22"/>
        </w:rPr>
        <w:t>(mil cento e noventa e cinco reais reais</w:t>
      </w:r>
      <w:r>
        <w:rPr>
          <w:rFonts w:ascii="Arial" w:eastAsia="Arial" w:hAnsi="Arial" w:cs="Arial"/>
          <w:sz w:val="22"/>
          <w:szCs w:val="22"/>
        </w:rPr>
        <w:t>).</w:t>
      </w:r>
    </w:p>
    <w:p w14:paraId="418C956D">
      <w:pPr>
        <w:spacing w:after="0" w:afterAutospacing="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Número dos empenhos: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404, 405 e 406.</w:t>
      </w:r>
    </w:p>
    <w:p w14:paraId="50B074F9">
      <w:pPr>
        <w:spacing w:after="0" w:afterAutospacing="0" w:line="360" w:lineRule="auto"/>
        <w:ind w:left="1417" w:right="0" w:firstLine="0"/>
        <w:jc w:val="both"/>
        <w:rPr>
          <w:rFonts w:ascii="Arial" w:eastAsia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b/>
          <w:bCs/>
          <w:sz w:val="22"/>
          <w:szCs w:val="22"/>
        </w:rPr>
        <w:t>Valores devolvidos: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R$ 621,63 (seiscentos e vinte e reais e sessenta e três centavos).</w:t>
      </w:r>
    </w:p>
    <w:p w14:paraId="7D7787D8">
      <w:pPr>
        <w:spacing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 conformidade com as Instruções do Tribunal de Cont</w:t>
      </w:r>
      <w:r>
        <w:rPr>
          <w:rFonts w:ascii="Arial" w:eastAsia="Arial" w:hAnsi="Arial" w:cs="Arial"/>
          <w:sz w:val="22"/>
          <w:szCs w:val="22"/>
        </w:rPr>
        <w:t xml:space="preserve">as </w:t>
      </w:r>
      <w:r>
        <w:rPr>
          <w:rFonts w:ascii="Arial" w:eastAsia="Arial" w:hAnsi="Arial" w:cs="Arial"/>
          <w:sz w:val="22"/>
          <w:szCs w:val="22"/>
        </w:rPr>
        <w:t>do Estado de São Paulo – Comunicado SDG n.º 19/2010, de 07 de junho de 2010, assim como com a legislação de regência da matéria, foi analisada a prestação de contas referente aos adiantamentos concedidos e exarado parecer, nos termos que adiante seguem:</w:t>
      </w:r>
    </w:p>
    <w:p w14:paraId="713015B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651D7D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PARECER DO CONTROLE</w:t>
      </w:r>
      <w:r>
        <w:rPr>
          <w:rFonts w:ascii="Arial" w:eastAsia="Arial" w:hAnsi="Arial" w:cs="Arial"/>
          <w:b/>
          <w:sz w:val="22"/>
          <w:szCs w:val="22"/>
        </w:rPr>
        <w:t xml:space="preserve"> INTERNO</w:t>
      </w:r>
    </w:p>
    <w:p w14:paraId="7963B9D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46B8ED6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prestação de contas foi entregue no prazo legal?</w:t>
      </w:r>
    </w:p>
    <w:p w14:paraId="7BA93BED">
      <w:pP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O Relatório de Viagem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dando conta da utilização das verbas concedidas e das atividades desenvolvidas, fo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lido em Plenário no dia 09/06/2026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sendo </w:t>
      </w:r>
      <w:r>
        <w:rPr>
          <w:rFonts w:ascii="Arial" w:eastAsia="Arial" w:hAnsi="Arial" w:cs="Arial"/>
          <w:sz w:val="22"/>
          <w:szCs w:val="22"/>
        </w:rPr>
        <w:t>entregue dentro do prazo estabelecido pelo</w:t>
      </w:r>
      <w:r>
        <w:rPr>
          <w:rFonts w:ascii="Arial" w:eastAsia="Arial" w:hAnsi="Arial" w:cs="Arial"/>
          <w:sz w:val="22"/>
          <w:szCs w:val="22"/>
        </w:rPr>
        <w:t xml:space="preserve"> Ato da Presidê</w:t>
      </w:r>
      <w:r>
        <w:rPr>
          <w:rFonts w:ascii="Arial" w:eastAsia="Arial" w:hAnsi="Arial" w:cs="Arial"/>
          <w:sz w:val="22"/>
          <w:szCs w:val="22"/>
        </w:rPr>
        <w:t xml:space="preserve">ncia </w:t>
      </w:r>
      <w:r>
        <w:rPr>
          <w:rFonts w:ascii="Arial" w:eastAsia="Arial" w:hAnsi="Arial" w:cs="Arial"/>
          <w:sz w:val="22"/>
          <w:szCs w:val="22"/>
        </w:rPr>
        <w:t>36/2019</w:t>
      </w:r>
      <w:r>
        <w:rPr>
          <w:rFonts w:ascii="Arial" w:eastAsia="Arial" w:hAnsi="Arial" w:cs="Arial"/>
          <w:sz w:val="22"/>
          <w:szCs w:val="22"/>
        </w:rPr>
        <w:t xml:space="preserve"> c/c </w:t>
      </w:r>
      <w:r>
        <w:rPr>
          <w:rFonts w:ascii="Arial" w:eastAsia="Arial" w:hAnsi="Arial" w:cs="Arial"/>
          <w:sz w:val="22"/>
          <w:szCs w:val="22"/>
        </w:rPr>
        <w:t>Resolução</w:t>
      </w:r>
      <w:r>
        <w:rPr>
          <w:rFonts w:ascii="Arial" w:eastAsia="Arial" w:hAnsi="Arial" w:cs="Arial"/>
          <w:sz w:val="22"/>
          <w:szCs w:val="22"/>
        </w:rPr>
        <w:t xml:space="preserve"> 539 de 10/09/2015.</w:t>
      </w:r>
    </w:p>
    <w:p w14:paraId="58E941AE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 xml:space="preserve">Quanto às prestações de contas, foram apresentadas dentro do prazo previsto no art. 21 da Lei 7.471/2010. </w:t>
      </w:r>
    </w:p>
    <w:p w14:paraId="7E000FBA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II. As despesas foram devidamente comprovadas?</w:t>
      </w:r>
    </w:p>
    <w:p w14:paraId="1B58547B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Sim. Foram apresentados relatório circunstanciado da viagem, registros fotográficos, cópias dos Ofícios nºs 70/2026, 71/2026, 72/2026, 73/2026, 74/2026 e 75/2026, declarações de presença emitidas por gabinetes parlamentares da Assembleia Legislativa do Est</w:t>
      </w:r>
      <w:r>
        <w:rPr>
          <w:rFonts w:ascii="Arial" w:eastAsia="Arial" w:hAnsi="Arial" w:cs="Arial"/>
          <w:sz w:val="22"/>
          <w:szCs w:val="22"/>
        </w:rPr>
        <w:t>ado de São Paulo, além da demonstração da devolução dos valores não utilizados dos recursos concedidos.</w:t>
      </w:r>
    </w:p>
    <w:p w14:paraId="56F3DC67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. As despesas realizadas estão em conformidade com a Lei n.º 7.471, de 18 de novembro de 2010?</w:t>
      </w:r>
    </w:p>
    <w:p w14:paraId="6A49964F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Sim</w:t>
      </w:r>
      <w:r>
        <w:rPr>
          <w:rFonts w:ascii="Arial" w:eastAsia="Arial" w:hAnsi="Arial" w:cs="Arial"/>
          <w:sz w:val="22"/>
          <w:szCs w:val="22"/>
        </w:rPr>
        <w:t>.</w:t>
      </w:r>
    </w:p>
    <w:p w14:paraId="414C30FB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V. </w:t>
      </w:r>
      <w:r>
        <w:rPr>
          <w:rFonts w:ascii="Arial" w:eastAsia="Arial" w:hAnsi="Arial" w:cs="Arial"/>
          <w:sz w:val="22"/>
          <w:szCs w:val="22"/>
        </w:rPr>
        <w:t>Foi observada</w:t>
      </w:r>
      <w:r>
        <w:rPr>
          <w:rFonts w:ascii="Arial" w:eastAsia="Arial" w:hAnsi="Arial" w:cs="Arial"/>
          <w:sz w:val="22"/>
          <w:szCs w:val="22"/>
        </w:rPr>
        <w:t xml:space="preserve"> a Resolução n.º </w:t>
      </w:r>
      <w:r>
        <w:rPr>
          <w:rFonts w:ascii="Arial" w:eastAsia="Arial" w:hAnsi="Arial" w:cs="Arial"/>
          <w:sz w:val="22"/>
          <w:szCs w:val="22"/>
        </w:rPr>
        <w:t>539, de 1</w:t>
      </w:r>
      <w:r>
        <w:rPr>
          <w:rFonts w:ascii="Arial" w:eastAsia="Arial" w:hAnsi="Arial" w:cs="Arial"/>
          <w:sz w:val="22"/>
          <w:szCs w:val="22"/>
        </w:rPr>
        <w:t xml:space="preserve">0 de </w:t>
      </w:r>
      <w:r>
        <w:rPr>
          <w:rFonts w:ascii="Arial" w:eastAsia="Arial" w:hAnsi="Arial" w:cs="Arial"/>
          <w:sz w:val="22"/>
          <w:szCs w:val="22"/>
        </w:rPr>
        <w:t xml:space="preserve">setembro de </w:t>
      </w:r>
      <w:r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z w:val="22"/>
          <w:szCs w:val="22"/>
        </w:rPr>
        <w:t>?</w:t>
      </w:r>
    </w:p>
    <w:p w14:paraId="6412289E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Sim. Verifica-se que o Relatório de Viagem foi apresentado e submetido à leitura em Plenário dentro do prazo regulamentar previsto na referida resolução.</w:t>
      </w:r>
    </w:p>
    <w:p w14:paraId="2B390C1C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 xml:space="preserve">V. </w:t>
      </w:r>
      <w:r>
        <w:rPr>
          <w:rFonts w:ascii="Arial" w:eastAsia="Arial" w:hAnsi="Arial" w:cs="Arial"/>
          <w:sz w:val="22"/>
          <w:szCs w:val="22"/>
        </w:rPr>
        <w:t xml:space="preserve">Foi observado </w:t>
      </w:r>
      <w:r>
        <w:rPr>
          <w:rFonts w:ascii="Arial" w:eastAsia="Arial" w:hAnsi="Arial" w:cs="Arial"/>
          <w:sz w:val="22"/>
          <w:szCs w:val="22"/>
        </w:rPr>
        <w:t xml:space="preserve">o Ato da Presidência n.º </w:t>
      </w:r>
      <w:r>
        <w:rPr>
          <w:rFonts w:ascii="Arial" w:eastAsia="Arial" w:hAnsi="Arial" w:cs="Arial"/>
          <w:sz w:val="22"/>
          <w:szCs w:val="22"/>
        </w:rPr>
        <w:t>36</w:t>
      </w:r>
      <w:r>
        <w:rPr>
          <w:rFonts w:ascii="Arial" w:eastAsia="Arial" w:hAnsi="Arial" w:cs="Arial"/>
          <w:sz w:val="22"/>
          <w:szCs w:val="22"/>
        </w:rPr>
        <w:t xml:space="preserve">, de </w:t>
      </w:r>
      <w:r>
        <w:rPr>
          <w:rFonts w:ascii="Arial" w:eastAsia="Arial" w:hAnsi="Arial" w:cs="Arial"/>
          <w:sz w:val="22"/>
          <w:szCs w:val="22"/>
        </w:rPr>
        <w:t>31</w:t>
      </w:r>
      <w:r>
        <w:rPr>
          <w:rFonts w:ascii="Arial" w:eastAsia="Arial" w:hAnsi="Arial" w:cs="Arial"/>
          <w:sz w:val="22"/>
          <w:szCs w:val="22"/>
        </w:rPr>
        <w:t xml:space="preserve"> de </w:t>
      </w:r>
      <w:r>
        <w:rPr>
          <w:rFonts w:ascii="Arial" w:eastAsia="Arial" w:hAnsi="Arial" w:cs="Arial"/>
          <w:sz w:val="22"/>
          <w:szCs w:val="22"/>
        </w:rPr>
        <w:t>outubro</w:t>
      </w:r>
      <w:r>
        <w:rPr>
          <w:rFonts w:ascii="Arial" w:eastAsia="Arial" w:hAnsi="Arial" w:cs="Arial"/>
          <w:sz w:val="22"/>
          <w:szCs w:val="22"/>
        </w:rPr>
        <w:t xml:space="preserve"> de 201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?</w:t>
      </w:r>
    </w:p>
    <w:p w14:paraId="0A3EF88A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Sim. O Relatório de Viagem foi apresentado dentro do prazo estabelecido pelo ato normativo.</w:t>
      </w:r>
    </w:p>
    <w:p w14:paraId="79360BB0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VIII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A viagem atingiu os objetivos a que se propunha?</w:t>
      </w:r>
    </w:p>
    <w:p w14:paraId="180EF7D6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Sim. Conforme relatado e comprovado nos autos, o vereador compareceu à Assembleia Legislativa do Estado de São Paulo – ALESP, onde protocolou ofícios junto a parlamentares estaduais e à assessoria de deputado federal, solicitando habilitação de projetos da</w:t>
      </w:r>
      <w:r>
        <w:rPr>
          <w:rFonts w:ascii="Arial" w:eastAsia="Arial" w:hAnsi="Arial" w:cs="Arial"/>
          <w:sz w:val="22"/>
          <w:szCs w:val="22"/>
        </w:rPr>
        <w:t xml:space="preserve"> Rede Alyne e destinação de recursos para custeio da Santa Casa de Misericórdia de Franca, especialmente para realização de cirurgias eletivas e atendimento de demandas da saúde pública municipal. Os autos contêm documentos comprobatórios dos protocolos re</w:t>
      </w:r>
      <w:r>
        <w:rPr>
          <w:rFonts w:ascii="Arial" w:eastAsia="Arial" w:hAnsi="Arial" w:cs="Arial"/>
          <w:sz w:val="22"/>
          <w:szCs w:val="22"/>
        </w:rPr>
        <w:t>alizados, declarações de presença e registros fotográficos das agendas institucionais.</w:t>
      </w:r>
    </w:p>
    <w:p w14:paraId="1BDA3FF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X. Os gastos atenderam aos princípios da economicidade, legitimidade e modicidade?</w:t>
      </w:r>
    </w:p>
    <w:p w14:paraId="5B983BB0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Sim. Houve devolução parcial das diárias concedidas e devolução integral do numerário disponibilizado para combustível, evidenciando a utilização apenas dos recursos necessários à execução da missão oficial.</w:t>
      </w:r>
    </w:p>
    <w:p w14:paraId="380FFEF0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X. No caso de cursos/congressos/seminários, foram apresentadas cópias dos respectivos certificados?</w:t>
      </w:r>
    </w:p>
    <w:p w14:paraId="0BF48AD0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Não se aplica.</w:t>
      </w:r>
    </w:p>
    <w:p w14:paraId="7829E797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</w:p>
    <w:p w14:paraId="37FAF988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</w:rPr>
        <w:t>CONCLUSÃO</w:t>
      </w:r>
    </w:p>
    <w:p w14:paraId="700FB77F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D17B435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Após análise dos documentos constantes do Procedimento Interno de Viagem </w:t>
      </w:r>
      <w:r>
        <w:rPr>
          <w:rFonts w:ascii="Arial" w:eastAsia="Arial" w:hAnsi="Arial" w:cs="Arial"/>
          <w:b/>
          <w:bCs/>
          <w:sz w:val="22"/>
          <w:szCs w:val="22"/>
        </w:rPr>
        <w:t>n.º 37/2026</w:t>
      </w:r>
      <w:r>
        <w:rPr>
          <w:rFonts w:ascii="Arial" w:eastAsia="Arial" w:hAnsi="Arial" w:cs="Arial"/>
          <w:sz w:val="22"/>
          <w:szCs w:val="22"/>
        </w:rPr>
        <w:t xml:space="preserve">, o Controle Interno manifesta-se de forma </w:t>
      </w:r>
      <w:r>
        <w:rPr>
          <w:rFonts w:ascii="Arial" w:eastAsia="Arial" w:hAnsi="Arial" w:cs="Arial"/>
          <w:b/>
          <w:bCs/>
          <w:sz w:val="22"/>
          <w:szCs w:val="22"/>
        </w:rPr>
        <w:t>FAVORÁVEL</w:t>
      </w:r>
      <w:r>
        <w:rPr>
          <w:rFonts w:ascii="Arial" w:eastAsia="Arial" w:hAnsi="Arial" w:cs="Arial"/>
          <w:sz w:val="22"/>
          <w:szCs w:val="22"/>
        </w:rPr>
        <w:t xml:space="preserve"> à aprovação da prestação de contas, por estarem as despesas devidamente comprovadas e em conformidade com a legislação </w:t>
      </w:r>
      <w:r>
        <w:rPr>
          <w:rFonts w:ascii="Arial" w:eastAsia="Arial" w:hAnsi="Arial" w:cs="Arial"/>
          <w:sz w:val="22"/>
          <w:szCs w:val="22"/>
        </w:rPr>
        <w:t>vigente</w:t>
      </w:r>
      <w:r>
        <w:rPr>
          <w:rFonts w:ascii="Arial" w:eastAsia="Arial" w:hAnsi="Arial" w:cs="Arial"/>
          <w:sz w:val="22"/>
          <w:szCs w:val="22"/>
        </w:rPr>
        <w:t>.</w:t>
      </w:r>
    </w:p>
    <w:p w14:paraId="74E340B3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Ressalta-se, por fim, que o presente parecer possui caráter opinativo e orientativo, não vinculando a discricionariedade da autoridade competente quanto à decisão final a ser adotada.</w:t>
      </w:r>
    </w:p>
    <w:p w14:paraId="1A3AD467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  <w:highlight w:val="none"/>
        </w:rPr>
      </w:pPr>
    </w:p>
    <w:p w14:paraId="031CBFDB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</w:p>
    <w:p w14:paraId="2E9CDB6F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Franca, 11 de junho de 2026</w:t>
      </w:r>
      <w:r>
        <w:rPr>
          <w:rFonts w:ascii="Arial" w:hAnsi="Arial" w:cs="Arial"/>
          <w:sz w:val="22"/>
          <w:szCs w:val="22"/>
          <w:highlight w:val="none"/>
        </w:rPr>
        <w:t>.</w:t>
      </w:r>
    </w:p>
    <w:p w14:paraId="4A78DECF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  <w:highlight w:val="none"/>
        </w:rPr>
      </w:pPr>
    </w:p>
    <w:p w14:paraId="1436CCE1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  <w:highlight w:val="none"/>
        </w:rPr>
      </w:pPr>
    </w:p>
    <w:p w14:paraId="520CB818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  <w:highlight w:val="none"/>
        </w:rPr>
      </w:pPr>
    </w:p>
    <w:p w14:paraId="34424AE4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both"/>
        <w:rPr>
          <w:rFonts w:ascii="Arial" w:hAnsi="Arial" w:cs="Arial"/>
          <w:sz w:val="22"/>
          <w:szCs w:val="22"/>
        </w:rPr>
      </w:pPr>
    </w:p>
    <w:p w14:paraId="67E72503">
      <w:pPr>
        <w:pBdr>
          <w:top w:val="nil"/>
          <w:left w:val="nil"/>
          <w:bottom w:val="nil"/>
          <w:right w:val="nil"/>
        </w:pBdr>
        <w:spacing w:line="240" w:lineRule="auto"/>
        <w:ind w:left="0" w:right="0" w:firstLine="0"/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Maria Paula Japaulo</w:t>
      </w:r>
    </w:p>
    <w:p w14:paraId="7A5E5053">
      <w:pPr>
        <w:pBdr>
          <w:top w:val="nil"/>
          <w:left w:val="nil"/>
          <w:bottom w:val="nil"/>
          <w:right w:val="nil"/>
        </w:pBdr>
        <w:spacing w:line="240" w:lineRule="auto"/>
        <w:ind w:left="0" w:right="0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>Analista de Controle Interno</w:t>
      </w:r>
    </w:p>
    <w:p w14:paraId="551A2791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left"/>
        <w:rPr>
          <w:rFonts w:ascii="Arial" w:hAnsi="Arial" w:cs="Arial"/>
          <w:sz w:val="22"/>
          <w:szCs w:val="22"/>
        </w:rPr>
      </w:pPr>
    </w:p>
    <w:p w14:paraId="7787C292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left"/>
        <w:rPr>
          <w:rFonts w:ascii="Arial" w:hAnsi="Arial" w:cs="Arial"/>
          <w:sz w:val="22"/>
          <w:szCs w:val="22"/>
        </w:rPr>
      </w:pPr>
    </w:p>
    <w:p w14:paraId="68CFF0AD"/>
    <w:p w14:paraId="5C0D20D7"/>
    <w:sectPr>
      <w:headerReference w:type="default" r:id="rId4"/>
      <w:footerReference w:type="default" r:id="rId5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70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</w:t>
          </w:r>
          <w:r>
            <w:t>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</w:t>
          </w:r>
          <w:r>
            <w:rPr>
              <w:b/>
            </w:rPr>
            <w:t>franca.sp.leg</w:t>
          </w:r>
          <w:r>
            <w:rPr>
              <w:b/>
            </w:rPr>
            <w:t>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54"/>
      <w:gridCol w:w="5717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5814226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6747270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F89813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2F868C34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33E52441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3">
    <w:nsid w:val="37625784"/>
    <w:multiLevelType w:val="hybridMultilevel"/>
    <w:tmpl w:val="00000000"/>
    <w:lvl w:ilvl="0">
      <w:start w:val="1"/>
      <w:numFmt w:val="decimal"/>
      <w:lvlText w:val="%1)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4EF1F73A"/>
    <w:multiLevelType w:val="hybridMultilevel"/>
    <w:tmpl w:val="0000000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666E4769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1BD202D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7E612D58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20</cp:revision>
  <dcterms:created xsi:type="dcterms:W3CDTF">2024-01-11T16:13:00Z</dcterms:created>
  <dcterms:modified xsi:type="dcterms:W3CDTF">2026-06-11T12:49:41Z</dcterms:modified>
</cp:coreProperties>
</file>